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E6C5C" w14:textId="3A363FFB" w:rsidR="007C0391" w:rsidRDefault="007C0391">
      <w:r>
        <w:fldChar w:fldCharType="begin"/>
      </w:r>
      <w:r>
        <w:instrText xml:space="preserve"> HYPERLINK "</w:instrText>
      </w:r>
      <w:r w:rsidRPr="007C0391">
        <w:instrText>https://www.poetryfoundation.org/poems/46094/the-indian-burying-ground</w:instrText>
      </w:r>
      <w:r>
        <w:instrText xml:space="preserve">" </w:instrText>
      </w:r>
      <w:r>
        <w:fldChar w:fldCharType="separate"/>
      </w:r>
      <w:r w:rsidRPr="00757EDF">
        <w:rPr>
          <w:rStyle w:val="Hyperlink"/>
        </w:rPr>
        <w:t>https://www.poetryfoundation.org/poems/46094/the-indian-burying-ground</w:t>
      </w:r>
      <w:r>
        <w:fldChar w:fldCharType="end"/>
      </w:r>
    </w:p>
    <w:p w14:paraId="5912AC76" w14:textId="4E415B4C" w:rsidR="007C0391" w:rsidRDefault="007C0391"/>
    <w:p w14:paraId="641B7DA9"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Take out (or open on your screen to) the poem.  As you read the poem the first couple of times, write down any words</w:t>
      </w:r>
    </w:p>
    <w:p w14:paraId="0DB0B7CE" w14:textId="77777777" w:rsidR="007C0391" w:rsidRPr="007C0391" w:rsidRDefault="007C0391" w:rsidP="007C0391">
      <w:pPr>
        <w:rPr>
          <w:rFonts w:ascii="Arial" w:eastAsia="Times New Roman" w:hAnsi="Arial" w:cs="Times New Roman"/>
          <w:color w:val="000000"/>
        </w:rPr>
      </w:pPr>
      <w:r w:rsidRPr="007C0391">
        <w:rPr>
          <w:rFonts w:ascii="inherit" w:eastAsia="Times New Roman" w:hAnsi="inherit" w:cs="Times New Roman"/>
          <w:color w:val="000000"/>
          <w:bdr w:val="none" w:sz="0" w:space="0" w:color="auto" w:frame="1"/>
        </w:rPr>
        <w:t>(</w:t>
      </w:r>
      <w:proofErr w:type="spellStart"/>
      <w:r w:rsidRPr="007C0391">
        <w:rPr>
          <w:rFonts w:ascii="inherit" w:eastAsia="Times New Roman" w:hAnsi="inherit" w:cs="Times New Roman"/>
          <w:color w:val="000000"/>
          <w:bdr w:val="none" w:sz="0" w:space="0" w:color="auto" w:frame="1"/>
        </w:rPr>
        <w:t>i</w:t>
      </w:r>
      <w:proofErr w:type="spellEnd"/>
      <w:r w:rsidRPr="007C0391">
        <w:rPr>
          <w:rFonts w:ascii="inherit" w:eastAsia="Times New Roman" w:hAnsi="inherit" w:cs="Times New Roman"/>
          <w:color w:val="000000"/>
          <w:bdr w:val="none" w:sz="0" w:space="0" w:color="auto" w:frame="1"/>
        </w:rPr>
        <w:t>)</w:t>
      </w:r>
      <w:r w:rsidRPr="007C0391">
        <w:rPr>
          <w:rFonts w:ascii="inherit" w:eastAsia="Times New Roman" w:hAnsi="inherit" w:cs="Times New Roman"/>
          <w:color w:val="000000"/>
          <w:sz w:val="20"/>
          <w:szCs w:val="20"/>
          <w:bdr w:val="none" w:sz="0" w:space="0" w:color="auto" w:frame="1"/>
        </w:rPr>
        <w:t xml:space="preserve"> </w:t>
      </w:r>
      <w:r w:rsidRPr="007C0391">
        <w:rPr>
          <w:rFonts w:ascii="inherit" w:eastAsia="Times New Roman" w:hAnsi="inherit" w:cs="Times New Roman"/>
          <w:color w:val="000000"/>
          <w:bdr w:val="none" w:sz="0" w:space="0" w:color="auto" w:frame="1"/>
        </w:rPr>
        <w:t>that you don’t know or</w:t>
      </w:r>
    </w:p>
    <w:p w14:paraId="4F881388" w14:textId="77777777" w:rsidR="007C0391" w:rsidRPr="007C0391" w:rsidRDefault="007C0391" w:rsidP="007C0391">
      <w:pPr>
        <w:rPr>
          <w:rFonts w:ascii="Arial" w:eastAsia="Times New Roman" w:hAnsi="Arial" w:cs="Times New Roman"/>
          <w:color w:val="000000"/>
        </w:rPr>
      </w:pPr>
      <w:r w:rsidRPr="007C0391">
        <w:rPr>
          <w:rFonts w:ascii="inherit" w:eastAsia="Times New Roman" w:hAnsi="inherit" w:cs="Times New Roman"/>
          <w:color w:val="000000"/>
          <w:bdr w:val="none" w:sz="0" w:space="0" w:color="auto" w:frame="1"/>
        </w:rPr>
        <w:t>(ii)</w:t>
      </w:r>
      <w:r w:rsidRPr="007C0391">
        <w:rPr>
          <w:rFonts w:ascii="inherit" w:eastAsia="Times New Roman" w:hAnsi="inherit" w:cs="Times New Roman"/>
          <w:color w:val="000000"/>
          <w:sz w:val="20"/>
          <w:szCs w:val="20"/>
          <w:bdr w:val="none" w:sz="0" w:space="0" w:color="auto" w:frame="1"/>
        </w:rPr>
        <w:t xml:space="preserve"> </w:t>
      </w:r>
      <w:r w:rsidRPr="007C0391">
        <w:rPr>
          <w:rFonts w:ascii="inherit" w:eastAsia="Times New Roman" w:hAnsi="inherit" w:cs="Times New Roman"/>
          <w:color w:val="000000"/>
          <w:bdr w:val="none" w:sz="0" w:space="0" w:color="auto" w:frame="1"/>
        </w:rPr>
        <w:t>that you perhaps have a vague sense of but are not sure and you don’t regularly use this word, or</w:t>
      </w:r>
    </w:p>
    <w:p w14:paraId="32621D00" w14:textId="77777777" w:rsidR="007C0391" w:rsidRPr="007C0391" w:rsidRDefault="007C0391" w:rsidP="007C0391">
      <w:pPr>
        <w:rPr>
          <w:rFonts w:ascii="Arial" w:eastAsia="Times New Roman" w:hAnsi="Arial" w:cs="Times New Roman"/>
          <w:color w:val="000000"/>
        </w:rPr>
      </w:pPr>
      <w:r w:rsidRPr="007C0391">
        <w:rPr>
          <w:rFonts w:ascii="inherit" w:eastAsia="Times New Roman" w:hAnsi="inherit" w:cs="Times New Roman"/>
          <w:color w:val="000000"/>
          <w:bdr w:val="none" w:sz="0" w:space="0" w:color="auto" w:frame="1"/>
        </w:rPr>
        <w:t>(iii)</w:t>
      </w:r>
      <w:r w:rsidRPr="007C0391">
        <w:rPr>
          <w:rFonts w:ascii="inherit" w:eastAsia="Times New Roman" w:hAnsi="inherit" w:cs="Times New Roman"/>
          <w:color w:val="000000"/>
          <w:sz w:val="20"/>
          <w:szCs w:val="20"/>
          <w:bdr w:val="none" w:sz="0" w:space="0" w:color="auto" w:frame="1"/>
        </w:rPr>
        <w:t xml:space="preserve"> </w:t>
      </w:r>
      <w:r w:rsidRPr="007C0391">
        <w:rPr>
          <w:rFonts w:ascii="inherit" w:eastAsia="Times New Roman" w:hAnsi="inherit" w:cs="Times New Roman"/>
          <w:color w:val="000000"/>
          <w:bdr w:val="none" w:sz="0" w:space="0" w:color="auto" w:frame="1"/>
        </w:rPr>
        <w:t>that you know but that you also experience as important in the poem for whatever reasons:  where it is, especially the endings and the beginnings and endings of lines in lines that are sometimes end-stopped and sometimes enjambed (on enjambment, see #3 below); sound (assonance, consonance, onomatopoeia, rhyme, repetition); used as figurative language such as metaphor or personification).</w:t>
      </w:r>
    </w:p>
    <w:p w14:paraId="78FF659C"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Check some of the words on your lists in a dictionary.  Use a dictionary that offers more than one meaning for most words and that has etymologies.  An etymology—the origin of a word and the historical development of a meaning—can sometimes bring you to older, even archaic, meanings and also to metaphors that are buried--in the sense that we may not immediately notice it as figurative--in the word’s history.</w:t>
      </w:r>
    </w:p>
    <w:p w14:paraId="78E9FEFD"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2) Spend a little time characterizing the speaker in the poem.  Then start to observe and list the features you notice in the poem that produce your sense of the speaker.  </w:t>
      </w:r>
    </w:p>
    <w:p w14:paraId="43E830B6"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3) Enjambment. caesura/caesurae, and stanzas</w:t>
      </w:r>
    </w:p>
    <w:p w14:paraId="3DA1993F"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Read the following link on enjambment: https://poetryarchive.org/glossary/enjambment/</w:t>
      </w:r>
    </w:p>
    <w:p w14:paraId="7B80EBA3"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Do you notice both end-stopped and enjambed lines?  What happens to the energy or pace of the speaker with these differences?  </w:t>
      </w:r>
    </w:p>
    <w:p w14:paraId="1BDCBFAF"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Also consider the use of caesurae (the plural form of ‘caesura’).</w:t>
      </w:r>
    </w:p>
    <w:p w14:paraId="7EB24C9A"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Here’s a link to a definition: https://literary-devices.com/content/caesura/</w:t>
      </w:r>
    </w:p>
    <w:p w14:paraId="19319A59"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Also consider the use of stanzas and the shifts between stanzas.  </w:t>
      </w:r>
    </w:p>
    <w:p w14:paraId="1EFAF91D"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 xml:space="preserve">Try to pay attention to where and </w:t>
      </w:r>
      <w:proofErr w:type="gramStart"/>
      <w:r w:rsidRPr="007C0391">
        <w:rPr>
          <w:rFonts w:ascii="Arial" w:eastAsia="Times New Roman" w:hAnsi="Arial" w:cs="Times New Roman"/>
          <w:color w:val="000000"/>
        </w:rPr>
        <w:t>how  the</w:t>
      </w:r>
      <w:proofErr w:type="gramEnd"/>
      <w:r w:rsidRPr="007C0391">
        <w:rPr>
          <w:rFonts w:ascii="Arial" w:eastAsia="Times New Roman" w:hAnsi="Arial" w:cs="Times New Roman"/>
          <w:color w:val="000000"/>
        </w:rPr>
        <w:t xml:space="preserve"> speaker's voice and approach to the poem's topic change and to how these poetic devices make those changes for readers.  </w:t>
      </w:r>
    </w:p>
    <w:p w14:paraId="1D338A87"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4) What is the effect for Freneau's poem of its focus on indigenous people of the past as opposed to those who were alive in the late 18th century when Freneau wrote this poem?  How does Freneau's representation of indigenous burial practices connect or not with actual living experiences of Native Americans?  </w:t>
      </w:r>
    </w:p>
    <w:p w14:paraId="5D563156"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 xml:space="preserve">Here's a link to </w:t>
      </w:r>
      <w:proofErr w:type="spellStart"/>
      <w:r w:rsidRPr="007C0391">
        <w:rPr>
          <w:rFonts w:ascii="Arial" w:eastAsia="Times New Roman" w:hAnsi="Arial" w:cs="Times New Roman"/>
          <w:color w:val="000000"/>
        </w:rPr>
        <w:t>Encyclopaedia</w:t>
      </w:r>
      <w:proofErr w:type="spellEnd"/>
      <w:r w:rsidRPr="007C0391">
        <w:rPr>
          <w:rFonts w:ascii="Arial" w:eastAsia="Times New Roman" w:hAnsi="Arial" w:cs="Times New Roman"/>
          <w:color w:val="000000"/>
        </w:rPr>
        <w:t> Britannica's entry on literary uses of the trope or figure of the "noble savage":</w:t>
      </w:r>
    </w:p>
    <w:p w14:paraId="4EAF9758" w14:textId="77777777" w:rsidR="007C0391" w:rsidRPr="007C0391" w:rsidRDefault="007C0391" w:rsidP="007C0391">
      <w:pPr>
        <w:spacing w:after="240"/>
        <w:rPr>
          <w:rFonts w:ascii="Arial" w:eastAsia="Times New Roman" w:hAnsi="Arial" w:cs="Times New Roman"/>
          <w:color w:val="000000"/>
        </w:rPr>
      </w:pPr>
      <w:r w:rsidRPr="007C0391">
        <w:rPr>
          <w:rFonts w:ascii="Arial" w:eastAsia="Times New Roman" w:hAnsi="Arial" w:cs="Times New Roman"/>
          <w:color w:val="000000"/>
        </w:rPr>
        <w:t>https://www.britannica.com/art/noble-savage</w:t>
      </w:r>
    </w:p>
    <w:p w14:paraId="414DE269" w14:textId="77777777" w:rsidR="007C0391" w:rsidRPr="007C0391" w:rsidRDefault="007C0391" w:rsidP="007C0391">
      <w:pPr>
        <w:rPr>
          <w:rFonts w:ascii="Times New Roman" w:eastAsia="Times New Roman" w:hAnsi="Times New Roman" w:cs="Times New Roman"/>
        </w:rPr>
      </w:pPr>
    </w:p>
    <w:p w14:paraId="3C5847A7" w14:textId="77777777" w:rsidR="007C0391" w:rsidRDefault="007C0391"/>
    <w:sectPr w:rsidR="007C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391"/>
    <w:rsid w:val="007C0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DCF7D"/>
  <w15:chartTrackingRefBased/>
  <w15:docId w15:val="{FFE91C4E-DDBF-CB4B-9440-49CBE3B2A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391"/>
    <w:rPr>
      <w:color w:val="0563C1" w:themeColor="hyperlink"/>
      <w:u w:val="single"/>
    </w:rPr>
  </w:style>
  <w:style w:type="character" w:styleId="UnresolvedMention">
    <w:name w:val="Unresolved Mention"/>
    <w:basedOn w:val="DefaultParagraphFont"/>
    <w:uiPriority w:val="99"/>
    <w:semiHidden/>
    <w:unhideWhenUsed/>
    <w:rsid w:val="007C0391"/>
    <w:rPr>
      <w:color w:val="605E5C"/>
      <w:shd w:val="clear" w:color="auto" w:fill="E1DFDD"/>
    </w:rPr>
  </w:style>
  <w:style w:type="paragraph" w:styleId="NormalWeb">
    <w:name w:val="Normal (Web)"/>
    <w:basedOn w:val="Normal"/>
    <w:uiPriority w:val="99"/>
    <w:semiHidden/>
    <w:unhideWhenUsed/>
    <w:rsid w:val="007C039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35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2020-09-08T05:27:00Z</dcterms:created>
  <dcterms:modified xsi:type="dcterms:W3CDTF">2020-09-08T05:28:00Z</dcterms:modified>
</cp:coreProperties>
</file>